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7D" w:rsidRPr="0069307D" w:rsidRDefault="0069307D" w:rsidP="0069307D">
      <w:pPr>
        <w:shd w:val="clear" w:color="auto" w:fill="FFFFFF"/>
        <w:spacing w:after="90"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5C5C5C"/>
          <w:kern w:val="36"/>
          <w:sz w:val="34"/>
          <w:szCs w:val="34"/>
        </w:rPr>
      </w:pPr>
      <w:r w:rsidRPr="0069307D">
        <w:rPr>
          <w:rFonts w:eastAsia="Times New Roman" w:cs="Times New Roman"/>
          <w:b/>
          <w:bCs/>
          <w:color w:val="5C5C5C"/>
          <w:kern w:val="36"/>
          <w:sz w:val="34"/>
          <w:szCs w:val="34"/>
        </w:rPr>
        <w:t>Integral manifolds for partial functional differential equations in admissible spaces on a half-line</w:t>
      </w:r>
    </w:p>
    <w:p w:rsidR="0069307D" w:rsidRDefault="0069307D"/>
    <w:p w:rsidR="0069307D" w:rsidRPr="0069307D" w:rsidRDefault="0069307D" w:rsidP="0069307D">
      <w:pPr>
        <w:pStyle w:val="Heading2"/>
        <w:shd w:val="clear" w:color="auto" w:fill="FFFFFF"/>
        <w:spacing w:before="300" w:after="90" w:line="360" w:lineRule="atLeast"/>
        <w:textAlignment w:val="baseline"/>
        <w:rPr>
          <w:rFonts w:ascii=".VnArial" w:hAnsi=".VnArial" w:cs="Times New Roman"/>
          <w:b w:val="0"/>
          <w:bCs w:val="0"/>
          <w:color w:val="5C5C5C"/>
          <w:sz w:val="29"/>
          <w:szCs w:val="29"/>
        </w:rPr>
      </w:pPr>
      <w:r w:rsidRPr="0069307D">
        <w:rPr>
          <w:rFonts w:ascii=".VnArial" w:hAnsi=".VnArial" w:cs="Times New Roman"/>
          <w:b w:val="0"/>
          <w:bCs w:val="0"/>
          <w:color w:val="5C5C5C"/>
          <w:sz w:val="29"/>
          <w:szCs w:val="29"/>
        </w:rPr>
        <w:t>Abstract</w:t>
      </w:r>
    </w:p>
    <w:p w:rsidR="0069307D" w:rsidRPr="00B67DAC" w:rsidRDefault="0069307D" w:rsidP="0069307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E2E2E"/>
          <w:sz w:val="20"/>
          <w:szCs w:val="20"/>
        </w:rPr>
      </w:pPr>
      <w:r w:rsidRPr="00B67DAC">
        <w:rPr>
          <w:color w:val="2E2E2E"/>
          <w:sz w:val="20"/>
          <w:szCs w:val="20"/>
        </w:rPr>
        <w:t xml:space="preserve">I </w:t>
      </w:r>
      <w:proofErr w:type="spellStart"/>
      <w:r w:rsidRPr="00B67DAC">
        <w:rPr>
          <w:color w:val="2E2E2E"/>
          <w:sz w:val="20"/>
          <w:szCs w:val="20"/>
        </w:rPr>
        <w:t>willpresent</w:t>
      </w:r>
      <w:proofErr w:type="spellEnd"/>
      <w:r w:rsidRPr="00B67DAC">
        <w:rPr>
          <w:color w:val="2E2E2E"/>
          <w:sz w:val="20"/>
          <w:szCs w:val="20"/>
        </w:rPr>
        <w:t xml:space="preserve"> the existence of stable and center-stable manifolds for solutions to partial functional differential equations of the form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noProof/>
          <w:color w:val="2E2E2E"/>
          <w:sz w:val="20"/>
          <w:szCs w:val="20"/>
          <w:bdr w:val="none" w:sz="0" w:space="0" w:color="auto" w:frame="1"/>
        </w:rPr>
        <w:drawing>
          <wp:inline distT="0" distB="0" distL="0" distR="0">
            <wp:extent cx="1447800" cy="133350"/>
            <wp:effectExtent l="0" t="0" r="0" b="0"/>
            <wp:docPr id="1" name="Picture 1" descr="View the MathML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the MathML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DAC">
        <w:rPr>
          <w:color w:val="2E2E2E"/>
          <w:sz w:val="20"/>
          <w:szCs w:val="20"/>
        </w:rPr>
        <w:t>,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t</w:t>
      </w:r>
      <w:bookmarkStart w:id="0" w:name="_GoBack"/>
      <w:bookmarkEnd w:id="0"/>
      <w:r w:rsidRPr="00B67DAC">
        <w:rPr>
          <w:rStyle w:val="formulatext"/>
          <w:rFonts w:ascii="Cambria Math" w:hAnsi="Cambria Math"/>
          <w:color w:val="2E2E2E"/>
          <w:spacing w:val="24"/>
          <w:sz w:val="22"/>
          <w:szCs w:val="22"/>
          <w:bdr w:val="none" w:sz="0" w:space="0" w:color="auto" w:frame="1"/>
        </w:rPr>
        <w:t>⩾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0</w:t>
      </w:r>
      <w:r w:rsidRPr="00B67DAC">
        <w:rPr>
          <w:color w:val="2E2E2E"/>
          <w:sz w:val="20"/>
          <w:szCs w:val="20"/>
        </w:rPr>
        <w:t>, when its linear part, the family of operators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(A(t))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r w:rsidRPr="00B67DAC">
        <w:rPr>
          <w:rStyle w:val="formulatext"/>
          <w:rFonts w:ascii="Cambria Math" w:hAnsi="Cambria Math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⩾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0</w:t>
      </w:r>
      <w:r w:rsidRPr="00B67DAC">
        <w:rPr>
          <w:color w:val="2E2E2E"/>
          <w:sz w:val="20"/>
          <w:szCs w:val="20"/>
        </w:rPr>
        <w:t>, generates the evolution family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(U(</w:t>
      </w:r>
      <w:proofErr w:type="spellStart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t,s</w:t>
      </w:r>
      <w:proofErr w:type="spellEnd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))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r w:rsidRPr="00B67DAC">
        <w:rPr>
          <w:rStyle w:val="formulatext"/>
          <w:rFonts w:ascii="Cambria Math" w:hAnsi="Cambria Math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⩾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s</w:t>
      </w:r>
      <w:r w:rsidRPr="00B67DAC">
        <w:rPr>
          <w:rStyle w:val="formulatext"/>
          <w:rFonts w:ascii="Cambria Math" w:hAnsi="Cambria Math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⩾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0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color w:val="2E2E2E"/>
          <w:sz w:val="20"/>
          <w:szCs w:val="20"/>
        </w:rPr>
        <w:t xml:space="preserve">having an exponential dichotomy or </w:t>
      </w:r>
      <w:proofErr w:type="spellStart"/>
      <w:r w:rsidRPr="00B67DAC">
        <w:rPr>
          <w:color w:val="2E2E2E"/>
          <w:sz w:val="20"/>
          <w:szCs w:val="20"/>
        </w:rPr>
        <w:t>trichotomy</w:t>
      </w:r>
      <w:proofErr w:type="spellEnd"/>
      <w:r w:rsidRPr="00B67DAC">
        <w:rPr>
          <w:color w:val="2E2E2E"/>
          <w:sz w:val="20"/>
          <w:szCs w:val="20"/>
        </w:rPr>
        <w:t xml:space="preserve"> on the half-line and the nonlinear forcing term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rStyle w:val="Emphasis"/>
          <w:color w:val="2E2E2E"/>
          <w:sz w:val="20"/>
          <w:szCs w:val="20"/>
          <w:bdr w:val="none" w:sz="0" w:space="0" w:color="auto" w:frame="1"/>
        </w:rPr>
        <w:t>f  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color w:val="2E2E2E"/>
          <w:sz w:val="20"/>
          <w:szCs w:val="20"/>
        </w:rPr>
        <w:t>satisfies the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rStyle w:val="Emphasis"/>
          <w:color w:val="2E2E2E"/>
          <w:sz w:val="20"/>
          <w:szCs w:val="20"/>
          <w:bdr w:val="none" w:sz="0" w:space="0" w:color="auto" w:frame="1"/>
        </w:rPr>
        <w:t>φ </w:t>
      </w:r>
      <w:r w:rsidRPr="00B67DAC">
        <w:rPr>
          <w:color w:val="2E2E2E"/>
          <w:sz w:val="20"/>
          <w:szCs w:val="20"/>
        </w:rPr>
        <w:t>-</w:t>
      </w:r>
      <w:proofErr w:type="spellStart"/>
      <w:r w:rsidRPr="00B67DAC">
        <w:rPr>
          <w:color w:val="2E2E2E"/>
          <w:sz w:val="20"/>
          <w:szCs w:val="20"/>
        </w:rPr>
        <w:t>Lipschitz</w:t>
      </w:r>
      <w:proofErr w:type="spellEnd"/>
      <w:r w:rsidRPr="00B67DAC">
        <w:rPr>
          <w:color w:val="2E2E2E"/>
          <w:sz w:val="20"/>
          <w:szCs w:val="20"/>
        </w:rPr>
        <w:t xml:space="preserve"> condition, i.e.,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rStyle w:val="formulatext"/>
          <w:rFonts w:ascii="Arial" w:hAnsi="Arial"/>
          <w:color w:val="2E2E2E"/>
          <w:spacing w:val="24"/>
          <w:sz w:val="22"/>
          <w:szCs w:val="22"/>
          <w:bdr w:val="none" w:sz="0" w:space="0" w:color="auto" w:frame="1"/>
        </w:rPr>
        <w:t>‖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f(</w:t>
      </w:r>
      <w:proofErr w:type="spellStart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t,u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proofErr w:type="spellEnd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)−f(</w:t>
      </w:r>
      <w:proofErr w:type="spellStart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t,v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proofErr w:type="spellEnd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)</w:t>
      </w:r>
      <w:r w:rsidRPr="00B67DAC">
        <w:rPr>
          <w:rStyle w:val="formulatext"/>
          <w:rFonts w:ascii="Arial" w:hAnsi="Arial"/>
          <w:color w:val="2E2E2E"/>
          <w:spacing w:val="24"/>
          <w:sz w:val="22"/>
          <w:szCs w:val="22"/>
          <w:bdr w:val="none" w:sz="0" w:space="0" w:color="auto" w:frame="1"/>
        </w:rPr>
        <w:t>‖</w:t>
      </w:r>
      <w:r w:rsidRPr="00B67DAC">
        <w:rPr>
          <w:rStyle w:val="formulatext"/>
          <w:rFonts w:ascii="Cambria Math" w:hAnsi="Cambria Math"/>
          <w:color w:val="2E2E2E"/>
          <w:spacing w:val="24"/>
          <w:sz w:val="22"/>
          <w:szCs w:val="22"/>
          <w:bdr w:val="none" w:sz="0" w:space="0" w:color="auto" w:frame="1"/>
        </w:rPr>
        <w:t>⩽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φ(t)</w:t>
      </w:r>
      <w:r w:rsidRPr="00B67DAC">
        <w:rPr>
          <w:rStyle w:val="formulatext"/>
          <w:rFonts w:ascii="Arial" w:hAnsi="Arial"/>
          <w:color w:val="2E2E2E"/>
          <w:spacing w:val="24"/>
          <w:sz w:val="22"/>
          <w:szCs w:val="22"/>
          <w:bdr w:val="none" w:sz="0" w:space="0" w:color="auto" w:frame="1"/>
        </w:rPr>
        <w:t>‖</w:t>
      </w:r>
      <w:proofErr w:type="spellStart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u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−v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r w:rsidRPr="00B67DAC">
        <w:rPr>
          <w:rStyle w:val="formulatext"/>
          <w:rFonts w:ascii="Arial" w:hAnsi="Arial"/>
          <w:color w:val="2E2E2E"/>
          <w:spacing w:val="24"/>
          <w:sz w:val="22"/>
          <w:szCs w:val="22"/>
          <w:bdr w:val="none" w:sz="0" w:space="0" w:color="auto" w:frame="1"/>
        </w:rPr>
        <w:t>‖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C</w:t>
      </w:r>
      <w:proofErr w:type="spellEnd"/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color w:val="2E2E2E"/>
          <w:sz w:val="20"/>
          <w:szCs w:val="20"/>
        </w:rPr>
        <w:t>where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proofErr w:type="spellStart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u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,v</w:t>
      </w:r>
      <w:r w:rsidRPr="00B67DAC">
        <w:rPr>
          <w:rStyle w:val="formulatext"/>
          <w:color w:val="2E2E2E"/>
          <w:spacing w:val="24"/>
          <w:sz w:val="17"/>
          <w:szCs w:val="17"/>
          <w:bdr w:val="none" w:sz="0" w:space="0" w:color="auto" w:frame="1"/>
          <w:vertAlign w:val="subscript"/>
        </w:rPr>
        <w:t>t</w:t>
      </w:r>
      <w:r w:rsidRPr="00B67DAC">
        <w:rPr>
          <w:rStyle w:val="formulatext"/>
          <w:rFonts w:ascii="Cambria Math" w:hAnsi="Cambria Math"/>
          <w:color w:val="2E2E2E"/>
          <w:spacing w:val="24"/>
          <w:sz w:val="22"/>
          <w:szCs w:val="22"/>
          <w:bdr w:val="none" w:sz="0" w:space="0" w:color="auto" w:frame="1"/>
        </w:rPr>
        <w:t>∈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C</w:t>
      </w:r>
      <w:proofErr w:type="spellEnd"/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:=C([−r,0],X)</w:t>
      </w:r>
      <w:r w:rsidRPr="00B67DAC">
        <w:rPr>
          <w:color w:val="2E2E2E"/>
          <w:sz w:val="20"/>
          <w:szCs w:val="20"/>
        </w:rPr>
        <w:t>, and</w:t>
      </w:r>
      <w:r w:rsidRPr="00B67DAC">
        <w:rPr>
          <w:rStyle w:val="apple-converted-space"/>
          <w:rFonts w:eastAsiaTheme="majorEastAsia"/>
          <w:color w:val="2E2E2E"/>
          <w:sz w:val="20"/>
          <w:szCs w:val="20"/>
        </w:rPr>
        <w:t> </w:t>
      </w:r>
      <w:r w:rsidRPr="00B67DAC">
        <w:rPr>
          <w:rStyle w:val="formulatext"/>
          <w:color w:val="2E2E2E"/>
          <w:spacing w:val="24"/>
          <w:sz w:val="22"/>
          <w:szCs w:val="22"/>
          <w:bdr w:val="none" w:sz="0" w:space="0" w:color="auto" w:frame="1"/>
        </w:rPr>
        <w:t>φ(t)</w:t>
      </w:r>
      <w:r w:rsidRPr="00B67DAC">
        <w:rPr>
          <w:color w:val="2E2E2E"/>
          <w:sz w:val="20"/>
          <w:szCs w:val="20"/>
        </w:rPr>
        <w:t xml:space="preserve">belongs to some admissible function space on the half-line. Our main methods invoke </w:t>
      </w:r>
      <w:proofErr w:type="spellStart"/>
      <w:r w:rsidRPr="00B67DAC">
        <w:rPr>
          <w:color w:val="2E2E2E"/>
          <w:sz w:val="20"/>
          <w:szCs w:val="20"/>
        </w:rPr>
        <w:t>Lyapunov–Perron</w:t>
      </w:r>
      <w:proofErr w:type="spellEnd"/>
      <w:r w:rsidRPr="00B67DAC">
        <w:rPr>
          <w:color w:val="2E2E2E"/>
          <w:sz w:val="20"/>
          <w:szCs w:val="20"/>
        </w:rPr>
        <w:t xml:space="preserve"> methods and the use of admissible function spaces.</w:t>
      </w:r>
    </w:p>
    <w:p w:rsidR="0069307D" w:rsidRDefault="0069307D"/>
    <w:sectPr w:rsidR="0069307D" w:rsidSect="0087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07D"/>
    <w:rsid w:val="0069307D"/>
    <w:rsid w:val="00875614"/>
    <w:rsid w:val="00A904CD"/>
    <w:rsid w:val="00B6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14"/>
  </w:style>
  <w:style w:type="paragraph" w:styleId="Heading1">
    <w:name w:val="heading 1"/>
    <w:basedOn w:val="Normal"/>
    <w:link w:val="Heading1Char"/>
    <w:uiPriority w:val="9"/>
    <w:qFormat/>
    <w:rsid w:val="006930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07D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9307D"/>
  </w:style>
  <w:style w:type="character" w:customStyle="1" w:styleId="Heading2Char">
    <w:name w:val="Heading 2 Char"/>
    <w:basedOn w:val="DefaultParagraphFont"/>
    <w:link w:val="Heading2"/>
    <w:uiPriority w:val="9"/>
    <w:semiHidden/>
    <w:rsid w:val="0069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930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ormulatext">
    <w:name w:val="formulatext"/>
    <w:basedOn w:val="DefaultParagraphFont"/>
    <w:rsid w:val="0069307D"/>
  </w:style>
  <w:style w:type="character" w:styleId="Emphasis">
    <w:name w:val="Emphasis"/>
    <w:basedOn w:val="DefaultParagraphFont"/>
    <w:uiPriority w:val="20"/>
    <w:qFormat/>
    <w:rsid w:val="006930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0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07D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9307D"/>
  </w:style>
  <w:style w:type="character" w:customStyle="1" w:styleId="Heading2Char">
    <w:name w:val="Heading 2 Char"/>
    <w:basedOn w:val="DefaultParagraphFont"/>
    <w:link w:val="Heading2"/>
    <w:uiPriority w:val="9"/>
    <w:semiHidden/>
    <w:rsid w:val="0069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930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ormulatext">
    <w:name w:val="formulatext"/>
    <w:basedOn w:val="DefaultParagraphFont"/>
    <w:rsid w:val="0069307D"/>
  </w:style>
  <w:style w:type="character" w:styleId="Emphasis">
    <w:name w:val="Emphasis"/>
    <w:basedOn w:val="DefaultParagraphFont"/>
    <w:uiPriority w:val="20"/>
    <w:qFormat/>
    <w:rsid w:val="006930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2014-12-23T02:21:00Z</dcterms:created>
  <dcterms:modified xsi:type="dcterms:W3CDTF">2014-12-23T02:21:00Z</dcterms:modified>
</cp:coreProperties>
</file>